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17" w:rsidRPr="000A725E" w:rsidRDefault="002D6817" w:rsidP="000A72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A725E">
        <w:rPr>
          <w:rFonts w:cstheme="minorHAnsi"/>
          <w:b/>
          <w:bCs/>
          <w:color w:val="000000"/>
          <w:sz w:val="24"/>
          <w:szCs w:val="24"/>
        </w:rPr>
        <w:t>Competition Conditions of Entry</w:t>
      </w:r>
    </w:p>
    <w:p w:rsidR="002D6817" w:rsidRPr="000A725E" w:rsidRDefault="002D6817" w:rsidP="002D68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6817" w:rsidRPr="000A725E" w:rsidTr="009815D4">
        <w:tc>
          <w:tcPr>
            <w:tcW w:w="9016" w:type="dxa"/>
            <w:gridSpan w:val="2"/>
          </w:tcPr>
          <w:p w:rsidR="002D6817" w:rsidRPr="000A725E" w:rsidRDefault="002D6817" w:rsidP="000A72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Brydens</w:t>
            </w:r>
            <w:proofErr w:type="spellEnd"/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Lawyers NS</w:t>
            </w: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 Blues Team Picker Competition</w:t>
            </w:r>
          </w:p>
        </w:tc>
      </w:tr>
      <w:tr w:rsidR="002D6817" w:rsidRPr="000A725E" w:rsidTr="002D6817"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Item 1: Promoter</w:t>
            </w:r>
          </w:p>
        </w:tc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The promoter is the New South Wales Rugby League (</w:t>
            </w: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NSWRL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).</w:t>
            </w:r>
          </w:p>
        </w:tc>
      </w:tr>
      <w:tr w:rsidR="002D6817" w:rsidRPr="000A725E" w:rsidTr="002D6817"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Item 2: Promotion Period</w:t>
            </w:r>
          </w:p>
        </w:tc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The Major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Prize promotion period begins 29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September at 5pm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(AEST) and</w:t>
            </w:r>
          </w:p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ends on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25 October 2020 at 11.59pm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(AEST).</w:t>
            </w:r>
          </w:p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Minor Prize promotion periods to begin as of 11.01am (AEST) following the</w:t>
            </w:r>
          </w:p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draw of the previous Minor Prize. Minor </w:t>
            </w:r>
          </w:p>
        </w:tc>
      </w:tr>
      <w:tr w:rsidR="002D6817" w:rsidRPr="000A725E" w:rsidTr="002D6817"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Item 3: Draw Date(s)</w:t>
            </w:r>
          </w:p>
        </w:tc>
        <w:tc>
          <w:tcPr>
            <w:tcW w:w="4508" w:type="dxa"/>
          </w:tcPr>
          <w:p w:rsidR="002D6817" w:rsidRPr="000A725E" w:rsidRDefault="002D6817" w:rsidP="000A72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Minor Prize: 1 – Tuesday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6 October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, 11am (AEST).</w:t>
            </w:r>
          </w:p>
          <w:p w:rsidR="002D6817" w:rsidRPr="000A725E" w:rsidRDefault="002D6817" w:rsidP="000A72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Minor Prize: 2 –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Tuesday 13 October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, 11am (AEST).</w:t>
            </w:r>
          </w:p>
          <w:p w:rsidR="002D6817" w:rsidRPr="000A725E" w:rsidRDefault="002D6817" w:rsidP="000A72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Minor Prize: 3 –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Tuesday 20 October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, 11am (AEST).</w:t>
            </w:r>
          </w:p>
          <w:p w:rsidR="002D6817" w:rsidRPr="000A725E" w:rsidRDefault="002D6817" w:rsidP="000A72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Minor Prize: 4 –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Tuesday 27 October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, 11am (AEST).</w:t>
            </w:r>
          </w:p>
          <w:p w:rsidR="002D6817" w:rsidRPr="000A725E" w:rsidRDefault="002D6817" w:rsidP="000A72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Major Prize: 1 –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Wednesday 28 October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, 11am (AEST).</w:t>
            </w:r>
          </w:p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817" w:rsidRPr="000A725E" w:rsidTr="002D6817"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Item 4: How to Enter</w:t>
            </w:r>
          </w:p>
        </w:tc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To enter, the entrant must:</w:t>
            </w:r>
          </w:p>
          <w:p w:rsidR="002D6817" w:rsidRPr="000A725E" w:rsidRDefault="002D6817" w:rsidP="000A725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Submit their would-be State of Origin team (for upcoming Origin I,</w:t>
            </w:r>
            <w:r w:rsidR="000A72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II or III) via the </w:t>
            </w:r>
            <w:proofErr w:type="spellStart"/>
            <w:r w:rsidRPr="000A725E">
              <w:rPr>
                <w:rFonts w:cstheme="minorHAnsi"/>
                <w:color w:val="000000"/>
                <w:sz w:val="24"/>
                <w:szCs w:val="24"/>
              </w:rPr>
              <w:t>Brydens</w:t>
            </w:r>
            <w:proofErr w:type="spellEnd"/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Lawyers NSW Blues Team Picker</w:t>
            </w:r>
            <w:r w:rsidR="000A72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Desktop and/or Mobile app to Facebook, Twitter or Instagram</w:t>
            </w:r>
            <w:r w:rsidR="000A72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using the hashtags #</w:t>
            </w:r>
            <w:proofErr w:type="spellStart"/>
            <w:r w:rsidRPr="000A725E">
              <w:rPr>
                <w:rFonts w:cstheme="minorHAnsi"/>
                <w:color w:val="000000"/>
                <w:sz w:val="24"/>
                <w:szCs w:val="24"/>
              </w:rPr>
              <w:t>uptheblues</w:t>
            </w:r>
            <w:proofErr w:type="spellEnd"/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and</w:t>
            </w:r>
            <w:r w:rsidR="000A72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#</w:t>
            </w:r>
            <w:proofErr w:type="spellStart"/>
            <w:r w:rsidRPr="000A725E">
              <w:rPr>
                <w:rFonts w:cstheme="minorHAnsi"/>
                <w:color w:val="000000"/>
                <w:sz w:val="24"/>
                <w:szCs w:val="24"/>
              </w:rPr>
              <w:t>BrydensLawyersTeamPicker</w:t>
            </w:r>
            <w:proofErr w:type="spellEnd"/>
            <w:r w:rsidRPr="000A725E">
              <w:rPr>
                <w:rFonts w:cstheme="minorHAnsi"/>
                <w:color w:val="000000"/>
                <w:sz w:val="24"/>
                <w:szCs w:val="24"/>
              </w:rPr>
              <w:t>; and</w:t>
            </w:r>
          </w:p>
          <w:p w:rsidR="002D6817" w:rsidRPr="000A725E" w:rsidRDefault="002D6817" w:rsidP="002D68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Opt-in to receive marketing and promotional communications from</w:t>
            </w:r>
            <w:r w:rsidR="000A72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25E">
              <w:rPr>
                <w:rFonts w:cstheme="minorHAnsi"/>
                <w:color w:val="000000"/>
                <w:sz w:val="24"/>
                <w:szCs w:val="24"/>
              </w:rPr>
              <w:t>Brydens</w:t>
            </w:r>
            <w:proofErr w:type="spellEnd"/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Lawyers.</w:t>
            </w:r>
          </w:p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817" w:rsidRPr="000A725E" w:rsidTr="002D6817"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Item 5: Prize Publication</w:t>
            </w:r>
          </w:p>
        </w:tc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Prize winners will be included o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n the </w:t>
            </w:r>
            <w:proofErr w:type="spellStart"/>
            <w:r w:rsidRPr="000A725E">
              <w:rPr>
                <w:rFonts w:cstheme="minorHAnsi"/>
                <w:color w:val="000000"/>
                <w:sz w:val="24"/>
                <w:szCs w:val="24"/>
              </w:rPr>
              <w:t>NSWRL.com.au’s</w:t>
            </w:r>
            <w:proofErr w:type="spellEnd"/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Team Picker page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and will be notified by email or notification</w:t>
            </w:r>
          </w:p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to his or her social media account.</w:t>
            </w:r>
          </w:p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817" w:rsidRPr="000A725E" w:rsidTr="002D6817"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Item 6: Draw Method</w:t>
            </w:r>
          </w:p>
        </w:tc>
        <w:tc>
          <w:tcPr>
            <w:tcW w:w="4508" w:type="dxa"/>
          </w:tcPr>
          <w:p w:rsidR="000A725E" w:rsidRDefault="002D6817" w:rsidP="000A72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The winner will be selected at random from all valid eligible</w:t>
            </w:r>
            <w:r w:rsidR="000A72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entries received during the Promotion Period(s).</w:t>
            </w:r>
          </w:p>
          <w:p w:rsidR="002D6817" w:rsidRPr="000A725E" w:rsidRDefault="002D6817" w:rsidP="000A72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lastRenderedPageBreak/>
              <w:t>Promotion draws will take place at NSWRL Centre of Excellence on</w:t>
            </w:r>
            <w:r w:rsidR="000A72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the draw date(s).</w:t>
            </w:r>
          </w:p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6817" w:rsidRPr="000A725E" w:rsidTr="002D6817"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Item 7: Prize Packages</w:t>
            </w:r>
          </w:p>
        </w:tc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Minor Prize Packages (10)</w:t>
            </w:r>
          </w:p>
          <w:p w:rsidR="002D6817" w:rsidRPr="000A725E" w:rsidRDefault="002D6817" w:rsidP="000A72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1 x 2020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725E">
              <w:rPr>
                <w:rFonts w:cstheme="minorHAnsi"/>
                <w:color w:val="000000"/>
                <w:sz w:val="24"/>
                <w:szCs w:val="24"/>
              </w:rPr>
              <w:t>Brydens</w:t>
            </w:r>
            <w:proofErr w:type="spellEnd"/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Lawyers NSW Blues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scarf</w:t>
            </w:r>
          </w:p>
          <w:p w:rsidR="002D6817" w:rsidRPr="000A725E" w:rsidRDefault="002D6817" w:rsidP="000A725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1 x 2020 </w:t>
            </w:r>
            <w:proofErr w:type="spellStart"/>
            <w:r w:rsidRPr="000A725E">
              <w:rPr>
                <w:rFonts w:cstheme="minorHAnsi"/>
                <w:color w:val="000000"/>
                <w:sz w:val="24"/>
                <w:szCs w:val="24"/>
              </w:rPr>
              <w:t>Brydens</w:t>
            </w:r>
            <w:proofErr w:type="spellEnd"/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 Lawyers NSW Bl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 xml:space="preserve">s 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beanie</w:t>
            </w:r>
          </w:p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Major Prize Package (1)</w:t>
            </w:r>
          </w:p>
          <w:p w:rsidR="002D6817" w:rsidRPr="000A725E" w:rsidRDefault="002D6817" w:rsidP="000A725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3 x signed and framed NSW Blues jerseys from the 2020 State of Origin Series (one jersey per game</w:t>
            </w:r>
            <w:r w:rsidR="000A725E">
              <w:rPr>
                <w:rFonts w:cstheme="minorHAnsi"/>
                <w:color w:val="000000"/>
                <w:sz w:val="24"/>
                <w:szCs w:val="24"/>
              </w:rPr>
              <w:t xml:space="preserve"> from the 2020 SOO Series</w:t>
            </w:r>
            <w:r w:rsidRPr="000A725E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2D6817" w:rsidRPr="000A725E" w:rsidTr="002D6817">
        <w:tc>
          <w:tcPr>
            <w:tcW w:w="4508" w:type="dxa"/>
          </w:tcPr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Item 8: Restriction to Entry</w:t>
            </w:r>
          </w:p>
        </w:tc>
        <w:tc>
          <w:tcPr>
            <w:tcW w:w="4508" w:type="dxa"/>
          </w:tcPr>
          <w:p w:rsidR="000A725E" w:rsidRPr="000A725E" w:rsidRDefault="000A725E" w:rsidP="000A72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Entry is open to Australian residents only. The directors and management</w:t>
            </w:r>
          </w:p>
          <w:p w:rsidR="000A725E" w:rsidRPr="000A725E" w:rsidRDefault="000A725E" w:rsidP="000A72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of the Promoter, its related partners, suppliers, and agencies whom are</w:t>
            </w:r>
          </w:p>
          <w:p w:rsidR="000A725E" w:rsidRPr="000A725E" w:rsidRDefault="000A725E" w:rsidP="000A72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directly associated with the conduct of this promotion are ineligible to enter</w:t>
            </w:r>
          </w:p>
          <w:p w:rsidR="000A725E" w:rsidRPr="000A725E" w:rsidRDefault="000A725E" w:rsidP="000A72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0A725E">
              <w:rPr>
                <w:rFonts w:cstheme="minorHAnsi"/>
                <w:color w:val="000000"/>
                <w:sz w:val="24"/>
                <w:szCs w:val="24"/>
              </w:rPr>
              <w:t>the promotion.</w:t>
            </w:r>
          </w:p>
          <w:p w:rsidR="002D6817" w:rsidRPr="000A725E" w:rsidRDefault="002D6817" w:rsidP="002D681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D6817" w:rsidRPr="000A725E" w:rsidRDefault="002D6817" w:rsidP="002D68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D6817" w:rsidRPr="000A725E" w:rsidRDefault="002D6817" w:rsidP="002D68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Information on how to enter form part of these Conditions of Entry. Participation in this promotion constitutes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acceptance of these Conditions of Entry of the competition.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The Major Prize Package winners agree to comply with the Conditions of Entry to the Event, the Event Conditions for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 xml:space="preserve">the Event available at </w:t>
      </w:r>
      <w:r w:rsidRPr="000A725E">
        <w:rPr>
          <w:rFonts w:cstheme="minorHAnsi"/>
          <w:color w:val="0000FF"/>
          <w:sz w:val="24"/>
          <w:szCs w:val="24"/>
        </w:rPr>
        <w:t>http://www.nrl.com.au/.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Incomplete, indecipherable, inaudible or incomprehensible entries will be deemed invalid and will be ineligible to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win.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If this promotion is interfered with in any way or is not capable of being conducted as reasonably anticipated due to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any reason beyond the reasonable control of the Promoter, including but not limited to technical difficulties,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unauthorised intervention or fraud, the Promoter reserves the right, in its sole discretion, to the fullest extent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permitted by law (a) to disqualify any entrant; or (b) subject to any written directions from a regulatory authority, to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modify, suspend, terminate or cancel the promotion, as appropriate.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The use of any automated entry software or any other mechanical or electronic means that allows an entrant to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automatically enter repeatedly is prohibited and will render all entries submitted by that entrant invalid.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Entries are deemed to be received at the time of receipt by the Promoter and not at the time of transmission by the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entrant.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The Promoter does not accept any responsibility for late, lost or misdirected entries for this promotion.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The Promoter reserves the right, at any time, to verify the validity of entries and entrants (including an entrant’s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 xml:space="preserve">identity, age and place of residence) and to </w:t>
      </w:r>
      <w:r w:rsidRPr="000A725E">
        <w:rPr>
          <w:rFonts w:cstheme="minorHAnsi"/>
          <w:color w:val="000000"/>
          <w:sz w:val="24"/>
          <w:szCs w:val="24"/>
        </w:rPr>
        <w:lastRenderedPageBreak/>
        <w:t>disqualify any entrant who submits an entry that is not in accordance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with these Conditions of Entry or who tampers with the entry process. Errors and omissions may be accepted at the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Promoter's discretion. Failure by the Promoter to enforce any of its rights at any stage does not constitute a waiver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of those rights.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If a winning entry is deemed not to comply with the Conditions of Entry of this promotion, the entry will be discarded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and a new winner of that prize will be determined by drawing a further valid entry.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 xml:space="preserve">The Promoter’s decision is final and no correspondence will be </w:t>
      </w:r>
      <w:proofErr w:type="gramStart"/>
      <w:r w:rsidRPr="000A725E">
        <w:rPr>
          <w:rFonts w:cstheme="minorHAnsi"/>
          <w:color w:val="000000"/>
          <w:sz w:val="24"/>
          <w:szCs w:val="24"/>
        </w:rPr>
        <w:t>entered into</w:t>
      </w:r>
      <w:proofErr w:type="gramEnd"/>
      <w:r w:rsidRPr="000A725E">
        <w:rPr>
          <w:rFonts w:cstheme="minorHAnsi"/>
          <w:color w:val="000000"/>
          <w:sz w:val="24"/>
          <w:szCs w:val="24"/>
        </w:rPr>
        <w:t>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If for any reason any winner does not take/redeem a prize (or part of a prize) by the time stipulated by the Promoter,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the prize (or that part of the prize) will be forfeited.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Subject however to any written directions from a relevant regulatory authority, the Promoter may conduct such further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draws at the same place as the original draw(s) as are necessary to distribute any prizes unclaimed by the date of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the re-draw. The winners of any re-draws will be published at www.nswrl.com.au.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No element of any prize is exchangeable. Prizes cannot be taken as cash.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If a prize (or any part of a prize) becomes unavailable for reasons beyond the Promoter’s reasonable control, the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Promoter will endeavour to provide a substitute prize of equivalent value and/or specification, subject to the written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directions of any regulatory authority.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Upon entering an Event, each Patron provides this release to the NSWRL, the NRL and the other Organisers:</w:t>
      </w:r>
    </w:p>
    <w:p w:rsidR="002D6817" w:rsidRPr="000A725E" w:rsidRDefault="002D6817" w:rsidP="000A725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i/>
          <w:iCs/>
          <w:color w:val="000000"/>
          <w:sz w:val="24"/>
          <w:szCs w:val="24"/>
        </w:rPr>
      </w:pPr>
      <w:r w:rsidRPr="000A725E">
        <w:rPr>
          <w:rFonts w:cstheme="minorHAnsi"/>
          <w:i/>
          <w:iCs/>
          <w:color w:val="000000"/>
          <w:sz w:val="24"/>
          <w:szCs w:val="24"/>
        </w:rPr>
        <w:t>To the maximum extent permitted by law, the NSWRL, the NRL and other Organisers are not liable to me</w:t>
      </w:r>
      <w:r w:rsidR="000A725E" w:rsidRPr="000A725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0A725E">
        <w:rPr>
          <w:rFonts w:cstheme="minorHAnsi"/>
          <w:i/>
          <w:iCs/>
          <w:color w:val="000000"/>
          <w:sz w:val="24"/>
          <w:szCs w:val="24"/>
        </w:rPr>
        <w:t>or to any other person with me for (regardless of how or when the liability is caused, or by whom it is</w:t>
      </w:r>
      <w:r w:rsidR="000A725E" w:rsidRPr="000A725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0A725E">
        <w:rPr>
          <w:rFonts w:cstheme="minorHAnsi"/>
          <w:i/>
          <w:iCs/>
          <w:color w:val="000000"/>
          <w:sz w:val="24"/>
          <w:szCs w:val="24"/>
        </w:rPr>
        <w:t>caused and regardless of whether such liability or claims are for negligence (excluding gross negligence),</w:t>
      </w:r>
      <w:r w:rsidR="000A725E" w:rsidRPr="000A725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0A725E">
        <w:rPr>
          <w:rFonts w:cstheme="minorHAnsi"/>
          <w:i/>
          <w:iCs/>
          <w:color w:val="000000"/>
          <w:sz w:val="24"/>
          <w:szCs w:val="24"/>
        </w:rPr>
        <w:t>breach of contract, breach of statutory duty, or any other liability or claim recognised at law):</w:t>
      </w:r>
    </w:p>
    <w:p w:rsidR="000A725E" w:rsidRPr="000A725E" w:rsidRDefault="002D6817" w:rsidP="000A725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iCs/>
          <w:color w:val="000000"/>
          <w:sz w:val="24"/>
          <w:szCs w:val="24"/>
        </w:rPr>
      </w:pPr>
      <w:r w:rsidRPr="000A725E">
        <w:rPr>
          <w:rFonts w:cstheme="minorHAnsi"/>
          <w:i/>
          <w:iCs/>
          <w:color w:val="000000"/>
          <w:sz w:val="24"/>
          <w:szCs w:val="24"/>
        </w:rPr>
        <w:t>My death, injury to me, or the death of or injury to anybody else with me;</w:t>
      </w:r>
    </w:p>
    <w:p w:rsidR="000A725E" w:rsidRPr="000A725E" w:rsidRDefault="002D6817" w:rsidP="000A725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iCs/>
          <w:color w:val="000000"/>
          <w:sz w:val="24"/>
          <w:szCs w:val="24"/>
        </w:rPr>
      </w:pPr>
      <w:r w:rsidRPr="000A725E">
        <w:rPr>
          <w:rFonts w:cstheme="minorHAnsi"/>
          <w:i/>
          <w:iCs/>
          <w:color w:val="000000"/>
          <w:sz w:val="24"/>
          <w:szCs w:val="24"/>
        </w:rPr>
        <w:t>Damage to, destruction of, theft of, or unauthorised delivery up of, any of my property or</w:t>
      </w:r>
      <w:r w:rsidR="000A725E" w:rsidRPr="000A725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0A725E">
        <w:rPr>
          <w:rFonts w:cstheme="minorHAnsi"/>
          <w:i/>
          <w:iCs/>
          <w:color w:val="000000"/>
          <w:sz w:val="24"/>
          <w:szCs w:val="24"/>
        </w:rPr>
        <w:t>equipmen</w:t>
      </w:r>
      <w:r w:rsidR="000A725E" w:rsidRPr="000A725E">
        <w:rPr>
          <w:rFonts w:cstheme="minorHAnsi"/>
          <w:i/>
          <w:iCs/>
          <w:color w:val="000000"/>
          <w:sz w:val="24"/>
          <w:szCs w:val="24"/>
        </w:rPr>
        <w:t xml:space="preserve">t, whether authorised or not; </w:t>
      </w:r>
    </w:p>
    <w:p w:rsidR="002D6817" w:rsidRPr="000A725E" w:rsidRDefault="000A725E" w:rsidP="000A725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i/>
          <w:iCs/>
          <w:color w:val="000000"/>
          <w:sz w:val="24"/>
          <w:szCs w:val="24"/>
        </w:rPr>
      </w:pPr>
      <w:r w:rsidRPr="000A725E">
        <w:rPr>
          <w:rFonts w:cstheme="minorHAnsi"/>
          <w:i/>
          <w:iCs/>
          <w:color w:val="000000"/>
          <w:sz w:val="24"/>
          <w:szCs w:val="24"/>
        </w:rPr>
        <w:t>D</w:t>
      </w:r>
      <w:r w:rsidR="002D6817" w:rsidRPr="000A725E">
        <w:rPr>
          <w:rFonts w:cstheme="minorHAnsi"/>
          <w:i/>
          <w:iCs/>
          <w:color w:val="000000"/>
          <w:sz w:val="24"/>
          <w:szCs w:val="24"/>
        </w:rPr>
        <w:t>amage to, destruction of, theft of, or delivery up of any of my clothing or other personal items,</w:t>
      </w:r>
      <w:r w:rsidRPr="000A725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D6817" w:rsidRPr="000A725E">
        <w:rPr>
          <w:rFonts w:cstheme="minorHAnsi"/>
          <w:i/>
          <w:iCs/>
          <w:color w:val="000000"/>
          <w:sz w:val="24"/>
          <w:szCs w:val="24"/>
        </w:rPr>
        <w:t xml:space="preserve">and in respect of </w:t>
      </w:r>
      <w:proofErr w:type="gramStart"/>
      <w:r w:rsidR="002D6817" w:rsidRPr="000A725E">
        <w:rPr>
          <w:rFonts w:cstheme="minorHAnsi"/>
          <w:i/>
          <w:iCs/>
          <w:color w:val="000000"/>
          <w:sz w:val="24"/>
          <w:szCs w:val="24"/>
        </w:rPr>
        <w:t>all of</w:t>
      </w:r>
      <w:proofErr w:type="gramEnd"/>
      <w:r w:rsidR="002D6817" w:rsidRPr="000A725E">
        <w:rPr>
          <w:rFonts w:cstheme="minorHAnsi"/>
          <w:i/>
          <w:iCs/>
          <w:color w:val="000000"/>
          <w:sz w:val="24"/>
          <w:szCs w:val="24"/>
        </w:rPr>
        <w:t xml:space="preserve"> the subject matter in each of (a), (b), and (c) above, I release the NRL and the other</w:t>
      </w:r>
      <w:r w:rsidRPr="000A725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D6817" w:rsidRPr="000A725E">
        <w:rPr>
          <w:rFonts w:cstheme="minorHAnsi"/>
          <w:i/>
          <w:iCs/>
          <w:color w:val="000000"/>
          <w:sz w:val="24"/>
          <w:szCs w:val="24"/>
        </w:rPr>
        <w:t>Organisers from any liability or claim which I do or might, or which anybody with me does or might have,</w:t>
      </w:r>
      <w:r w:rsidRPr="000A725E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2D6817" w:rsidRPr="000A725E">
        <w:rPr>
          <w:rFonts w:cstheme="minorHAnsi"/>
          <w:i/>
          <w:iCs/>
          <w:color w:val="000000"/>
          <w:sz w:val="24"/>
          <w:szCs w:val="24"/>
        </w:rPr>
        <w:t>or in the future might have or would have against the NRL or the other Organisers.</w:t>
      </w:r>
    </w:p>
    <w:p w:rsidR="002D6817" w:rsidRPr="000A725E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The NRL does not make any warranty that the Competition, the Event, or any services connected with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 xml:space="preserve">each Event will be provided with due care and skill or that any materials or equipment provided </w:t>
      </w:r>
      <w:proofErr w:type="gramStart"/>
      <w:r w:rsidRPr="000A725E">
        <w:rPr>
          <w:rFonts w:cstheme="minorHAnsi"/>
          <w:color w:val="000000"/>
          <w:sz w:val="24"/>
          <w:szCs w:val="24"/>
        </w:rPr>
        <w:t>in</w:t>
      </w:r>
      <w:r w:rsidR="000A725E" w:rsidRP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connection with</w:t>
      </w:r>
      <w:proofErr w:type="gramEnd"/>
      <w:r w:rsidRPr="000A725E">
        <w:rPr>
          <w:rFonts w:cstheme="minorHAnsi"/>
          <w:color w:val="000000"/>
          <w:sz w:val="24"/>
          <w:szCs w:val="24"/>
        </w:rPr>
        <w:t xml:space="preserve"> the services will be fit for the purposes for which they are supplied. Patrons acknowledge</w:t>
      </w:r>
      <w:r w:rsidR="000A725E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that, to the extent that any warranty is implied by law, it is excluded to the full extent permitted by law.</w:t>
      </w:r>
    </w:p>
    <w:p w:rsidR="002D6817" w:rsidRPr="00D151EB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51EB">
        <w:rPr>
          <w:rFonts w:cstheme="minorHAnsi"/>
          <w:color w:val="000000"/>
          <w:sz w:val="24"/>
          <w:szCs w:val="24"/>
        </w:rPr>
        <w:t>The NSWRL acknowledges that each indemnity and exclusion of liability in this document is subject to any law</w:t>
      </w:r>
      <w:r w:rsidR="000A725E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which forbids that indemnity or exclusion of liability including the Australian Consumer Law (which is part of the</w:t>
      </w:r>
      <w:r w:rsidR="000A725E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i/>
          <w:iCs/>
          <w:color w:val="000000"/>
          <w:sz w:val="24"/>
          <w:szCs w:val="24"/>
        </w:rPr>
        <w:t xml:space="preserve">Competition and Consumer Act 2010 </w:t>
      </w:r>
      <w:r w:rsidRPr="00D151EB">
        <w:rPr>
          <w:rFonts w:cstheme="minorHAnsi"/>
          <w:color w:val="000000"/>
          <w:sz w:val="24"/>
          <w:szCs w:val="24"/>
        </w:rPr>
        <w:t>(</w:t>
      </w:r>
      <w:proofErr w:type="spellStart"/>
      <w:r w:rsidRPr="00D151EB">
        <w:rPr>
          <w:rFonts w:cstheme="minorHAnsi"/>
          <w:color w:val="000000"/>
          <w:sz w:val="24"/>
          <w:szCs w:val="24"/>
        </w:rPr>
        <w:t>Cth</w:t>
      </w:r>
      <w:proofErr w:type="spellEnd"/>
      <w:r w:rsidRPr="00D151EB">
        <w:rPr>
          <w:rFonts w:cstheme="minorHAnsi"/>
          <w:color w:val="000000"/>
          <w:sz w:val="24"/>
          <w:szCs w:val="24"/>
        </w:rPr>
        <w:t xml:space="preserve">)) and the </w:t>
      </w:r>
      <w:proofErr w:type="gramStart"/>
      <w:r w:rsidRPr="00D151EB">
        <w:rPr>
          <w:rFonts w:cstheme="minorHAnsi"/>
          <w:color w:val="000000"/>
          <w:sz w:val="24"/>
          <w:szCs w:val="24"/>
        </w:rPr>
        <w:t>Fair Trading</w:t>
      </w:r>
      <w:proofErr w:type="gramEnd"/>
      <w:r w:rsidRPr="00D151EB">
        <w:rPr>
          <w:rFonts w:cstheme="minorHAnsi"/>
          <w:color w:val="000000"/>
          <w:sz w:val="24"/>
          <w:szCs w:val="24"/>
        </w:rPr>
        <w:t xml:space="preserve"> Act (or similar legislation) of each State or</w:t>
      </w:r>
      <w:r w:rsidR="000A725E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Territory of Australia. The NRL acknowledges that each indemnity and liability in this document is amended to</w:t>
      </w:r>
      <w:r w:rsidR="000A725E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 xml:space="preserve">the extent that any right under the </w:t>
      </w:r>
      <w:r w:rsidRPr="00D151EB">
        <w:rPr>
          <w:rFonts w:cstheme="minorHAnsi"/>
          <w:color w:val="000000"/>
          <w:sz w:val="24"/>
          <w:szCs w:val="24"/>
        </w:rPr>
        <w:lastRenderedPageBreak/>
        <w:t xml:space="preserve">Australian Consumer Law and the </w:t>
      </w:r>
      <w:proofErr w:type="gramStart"/>
      <w:r w:rsidRPr="00D151EB">
        <w:rPr>
          <w:rFonts w:cstheme="minorHAnsi"/>
          <w:color w:val="000000"/>
          <w:sz w:val="24"/>
          <w:szCs w:val="24"/>
        </w:rPr>
        <w:t>Fair Trading</w:t>
      </w:r>
      <w:proofErr w:type="gramEnd"/>
      <w:r w:rsidRPr="00D151EB">
        <w:rPr>
          <w:rFonts w:cstheme="minorHAnsi"/>
          <w:color w:val="000000"/>
          <w:sz w:val="24"/>
          <w:szCs w:val="24"/>
        </w:rPr>
        <w:t xml:space="preserve"> Act (or similar legislation) of</w:t>
      </w:r>
      <w:r w:rsid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each State or Territory of Australia cannot be excluded.</w:t>
      </w:r>
    </w:p>
    <w:p w:rsidR="002D6817" w:rsidRPr="00D151EB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51EB">
        <w:rPr>
          <w:rFonts w:cstheme="minorHAnsi"/>
          <w:color w:val="000000"/>
          <w:sz w:val="24"/>
          <w:szCs w:val="24"/>
        </w:rPr>
        <w:t>Under the Australian Consumer Law (which is part of the Competition and Consumer Act 2010 (</w:t>
      </w:r>
      <w:proofErr w:type="spellStart"/>
      <w:r w:rsidRPr="00D151EB">
        <w:rPr>
          <w:rFonts w:cstheme="minorHAnsi"/>
          <w:color w:val="000000"/>
          <w:sz w:val="24"/>
          <w:szCs w:val="24"/>
        </w:rPr>
        <w:t>Cth</w:t>
      </w:r>
      <w:proofErr w:type="spellEnd"/>
      <w:r w:rsidRPr="00D151EB">
        <w:rPr>
          <w:rFonts w:cstheme="minorHAnsi"/>
          <w:color w:val="000000"/>
          <w:sz w:val="24"/>
          <w:szCs w:val="24"/>
        </w:rPr>
        <w:t>)), several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guarantees are implied into contracts for the supply of certain goods and services. You agree that the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 xml:space="preserve">application of all or any of the </w:t>
      </w:r>
      <w:r w:rsidR="00D151EB" w:rsidRPr="00D151EB">
        <w:rPr>
          <w:rFonts w:cstheme="minorHAnsi"/>
          <w:color w:val="000000"/>
          <w:sz w:val="24"/>
          <w:szCs w:val="24"/>
        </w:rPr>
        <w:t>p</w:t>
      </w:r>
      <w:r w:rsidRPr="00D151EB">
        <w:rPr>
          <w:rFonts w:cstheme="minorHAnsi"/>
          <w:color w:val="000000"/>
          <w:sz w:val="24"/>
          <w:szCs w:val="24"/>
        </w:rPr>
        <w:t>rovisions of Subdivision B of Division 1 of Part 3-2 of the Australian Consumer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Law (i.e. guarantees relating to the supply of services), the exercise of rights conferred by those provisions, and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any liability of the NRL and the other Organisers for a failure to comply with any such guarantees, are excluded.</w:t>
      </w:r>
      <w:r w:rsid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However, such exclusion is limited to liability for:</w:t>
      </w:r>
    </w:p>
    <w:p w:rsidR="00D151EB" w:rsidRDefault="002D6817" w:rsidP="00D151E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51EB">
        <w:rPr>
          <w:rFonts w:cstheme="minorHAnsi"/>
          <w:color w:val="000000"/>
          <w:sz w:val="24"/>
          <w:szCs w:val="24"/>
        </w:rPr>
        <w:t>death, physical or mental injury (including aggravation, acceleration or recurrence of such an injury of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the individual);</w:t>
      </w:r>
    </w:p>
    <w:p w:rsidR="002D6817" w:rsidRPr="00D151EB" w:rsidRDefault="002D6817" w:rsidP="00D151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D151EB">
        <w:rPr>
          <w:rFonts w:cstheme="minorHAnsi"/>
          <w:color w:val="000000"/>
          <w:sz w:val="24"/>
          <w:szCs w:val="24"/>
        </w:rPr>
        <w:t>(b) contraction, aggravation or acceleration of a disease of an individual; or</w:t>
      </w:r>
    </w:p>
    <w:p w:rsidR="002D6817" w:rsidRPr="000A725E" w:rsidRDefault="002D6817" w:rsidP="00D151E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(c) the coming into existence, the aggravation, acceleration or recurrence of any other condition,</w:t>
      </w:r>
      <w:r w:rsidR="00D151EB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 xml:space="preserve">circumstance, occurrence, activity, form of behaviour, course of conduct or </w:t>
      </w:r>
      <w:proofErr w:type="gramStart"/>
      <w:r w:rsidRPr="000A725E">
        <w:rPr>
          <w:rFonts w:cstheme="minorHAnsi"/>
          <w:color w:val="000000"/>
          <w:sz w:val="24"/>
          <w:szCs w:val="24"/>
        </w:rPr>
        <w:t>state of affairs in</w:t>
      </w:r>
      <w:proofErr w:type="gramEnd"/>
      <w:r w:rsidRPr="000A725E">
        <w:rPr>
          <w:rFonts w:cstheme="minorHAnsi"/>
          <w:color w:val="000000"/>
          <w:sz w:val="24"/>
          <w:szCs w:val="24"/>
        </w:rPr>
        <w:t xml:space="preserve"> relation</w:t>
      </w:r>
      <w:r w:rsidR="00D151EB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to an individual that is or may be harmful or disadvantageous to the individual or the community or</w:t>
      </w:r>
      <w:r w:rsidR="00D151EB">
        <w:rPr>
          <w:rFonts w:cstheme="minorHAnsi"/>
          <w:color w:val="000000"/>
          <w:sz w:val="24"/>
          <w:szCs w:val="24"/>
        </w:rPr>
        <w:t xml:space="preserve"> </w:t>
      </w:r>
      <w:r w:rsidRPr="000A725E">
        <w:rPr>
          <w:rFonts w:cstheme="minorHAnsi"/>
          <w:color w:val="000000"/>
          <w:sz w:val="24"/>
          <w:szCs w:val="24"/>
        </w:rPr>
        <w:t>that may result in harm or disadvantage to the individual or the community.</w:t>
      </w:r>
    </w:p>
    <w:p w:rsidR="002D6817" w:rsidRPr="000A725E" w:rsidRDefault="002D6817" w:rsidP="00D151E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A725E">
        <w:rPr>
          <w:rFonts w:cstheme="minorHAnsi"/>
          <w:color w:val="000000"/>
          <w:sz w:val="24"/>
          <w:szCs w:val="24"/>
        </w:rPr>
        <w:t>This exclusion does not apply to significant personal injury suffered by the reckless conduct of the NRL.</w:t>
      </w:r>
    </w:p>
    <w:p w:rsidR="002D6817" w:rsidRPr="00D151EB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51EB">
        <w:rPr>
          <w:rFonts w:cstheme="minorHAnsi"/>
          <w:color w:val="000000"/>
          <w:sz w:val="24"/>
          <w:szCs w:val="24"/>
        </w:rPr>
        <w:t>Each release or exclusion of liability in this document is for the benefit of the NRL and each of the other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organisers and held on trust by the NRL for each of the other organisers so that each of the organisers may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enforce those provisions against each Patron. Patrons also acknowledge that the NRL may enforce each release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and exclusion of liability in these Competition Conditions of Entry and/or Event Conditions against each Patron on</w:t>
      </w:r>
      <w:r w:rsid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behalf of any of the other organisers on the basis that the NRL is their agent or trustee.</w:t>
      </w:r>
    </w:p>
    <w:p w:rsidR="002D6817" w:rsidRPr="00D151EB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51EB">
        <w:rPr>
          <w:rFonts w:cstheme="minorHAnsi"/>
          <w:color w:val="000000"/>
          <w:sz w:val="24"/>
          <w:szCs w:val="24"/>
        </w:rPr>
        <w:t>The NRL, NRL or other Organisers will not be liable for any loss (including, without limitation, indirect, special or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consequential loss or loss of profits), expense, damage, personal injury or death which is suffered or sustained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(</w:t>
      </w:r>
      <w:proofErr w:type="gramStart"/>
      <w:r w:rsidRPr="00D151EB">
        <w:rPr>
          <w:rFonts w:cstheme="minorHAnsi"/>
          <w:color w:val="000000"/>
          <w:sz w:val="24"/>
          <w:szCs w:val="24"/>
        </w:rPr>
        <w:t>whether or not</w:t>
      </w:r>
      <w:proofErr w:type="gramEnd"/>
      <w:r w:rsidRPr="00D151EB">
        <w:rPr>
          <w:rFonts w:cstheme="minorHAnsi"/>
          <w:color w:val="000000"/>
          <w:sz w:val="24"/>
          <w:szCs w:val="24"/>
        </w:rPr>
        <w:t xml:space="preserve"> arising from any person’s negligence) by any person in connection with this promotion or accepting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or using a prize, except for any liability which cannot be excluded by law (in which case that liability is limited to the</w:t>
      </w:r>
      <w:r w:rsid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minimum allowable by law).</w:t>
      </w:r>
    </w:p>
    <w:p w:rsidR="002D6817" w:rsidRPr="00D151EB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51EB">
        <w:rPr>
          <w:rFonts w:cstheme="minorHAnsi"/>
          <w:color w:val="000000"/>
          <w:sz w:val="24"/>
          <w:szCs w:val="24"/>
        </w:rPr>
        <w:t xml:space="preserve">The Promoter collects entrants’ personal information </w:t>
      </w:r>
      <w:proofErr w:type="gramStart"/>
      <w:r w:rsidRPr="00D151EB">
        <w:rPr>
          <w:rFonts w:cstheme="minorHAnsi"/>
          <w:color w:val="000000"/>
          <w:sz w:val="24"/>
          <w:szCs w:val="24"/>
        </w:rPr>
        <w:t>in order to</w:t>
      </w:r>
      <w:proofErr w:type="gramEnd"/>
      <w:r w:rsidRPr="00D151EB">
        <w:rPr>
          <w:rFonts w:cstheme="minorHAnsi"/>
          <w:color w:val="000000"/>
          <w:sz w:val="24"/>
          <w:szCs w:val="24"/>
        </w:rPr>
        <w:t xml:space="preserve"> conduct the promotion and may, for this purpose,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disclose such personal information to third parties, including but not limited to agents, contractors, service providers,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prize suppliers and, as required, to Australian regulatory authorities. If the personal information requested is not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provided, the entrant may not participate in the promotion. By entering the promotion, unless otherwise advised,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each entrant also agrees that the Promoter may use this information, in any media for future promotional, marketing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and publicity purposes without any further reference, payment or other compensation to the entrant, including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sending the entrant electronic messages, and telephoning the entrant. Such personal information will be dealt with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 xml:space="preserve">by the Promoter in accordance its privacy policy which can be viewed at </w:t>
      </w:r>
      <w:r w:rsidRPr="00D151EB">
        <w:rPr>
          <w:rFonts w:cstheme="minorHAnsi"/>
          <w:color w:val="0000FF"/>
          <w:sz w:val="24"/>
          <w:szCs w:val="24"/>
        </w:rPr>
        <w:t xml:space="preserve">www.nswrl.com.au </w:t>
      </w:r>
      <w:r w:rsidRPr="00D151EB">
        <w:rPr>
          <w:rFonts w:cstheme="minorHAnsi"/>
          <w:color w:val="000000"/>
          <w:sz w:val="24"/>
          <w:szCs w:val="24"/>
        </w:rPr>
        <w:t>Entrants’ personal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information may be disclosed to State and Territory lottery departments and winners’ names published as required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 xml:space="preserve">under the relevant lottery legislation. A request to access, update, opt-out or correct any </w:t>
      </w:r>
      <w:r w:rsidRPr="00D151EB">
        <w:rPr>
          <w:rFonts w:cstheme="minorHAnsi"/>
          <w:color w:val="000000"/>
          <w:sz w:val="24"/>
          <w:szCs w:val="24"/>
        </w:rPr>
        <w:lastRenderedPageBreak/>
        <w:t>personal information should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be directed to the Promoter by contacting the Promoter at 12-14 Dawn Fraser Avenue, Sydney Olympic Park NSW</w:t>
      </w:r>
      <w:r w:rsid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2127. All entries become the property of the Promoter.</w:t>
      </w:r>
    </w:p>
    <w:p w:rsidR="00783358" w:rsidRPr="00D151EB" w:rsidRDefault="002D6817" w:rsidP="000A72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51EB">
        <w:rPr>
          <w:rFonts w:cstheme="minorHAnsi"/>
          <w:color w:val="000000"/>
          <w:sz w:val="24"/>
          <w:szCs w:val="24"/>
        </w:rPr>
        <w:t>Entrants consent to the Promoter using their name, likeness, image and/or voice in the event they are a winner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(including photograph, film and/or recording of the same) in any media for an unlimited period</w:t>
      </w:r>
      <w:r w:rsidR="00D151EB" w:rsidRP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without remuneration for the purpose of promoting this promotion (including any outcome), and promoting any</w:t>
      </w:r>
      <w:r w:rsidR="00D151EB">
        <w:rPr>
          <w:rFonts w:cstheme="minorHAnsi"/>
          <w:color w:val="000000"/>
          <w:sz w:val="24"/>
          <w:szCs w:val="24"/>
        </w:rPr>
        <w:t xml:space="preserve"> </w:t>
      </w:r>
      <w:r w:rsidRPr="00D151EB">
        <w:rPr>
          <w:rFonts w:cstheme="minorHAnsi"/>
          <w:color w:val="000000"/>
          <w:sz w:val="24"/>
          <w:szCs w:val="24"/>
        </w:rPr>
        <w:t>products manufactured, distributed and/or supplied by the Promoter.</w:t>
      </w:r>
      <w:bookmarkStart w:id="0" w:name="_GoBack"/>
      <w:bookmarkEnd w:id="0"/>
    </w:p>
    <w:sectPr w:rsidR="00783358" w:rsidRPr="00D1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98A"/>
    <w:multiLevelType w:val="hybridMultilevel"/>
    <w:tmpl w:val="473A0B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1031"/>
    <w:multiLevelType w:val="hybridMultilevel"/>
    <w:tmpl w:val="C8FC1FFA"/>
    <w:lvl w:ilvl="0" w:tplc="288E58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3254"/>
    <w:multiLevelType w:val="hybridMultilevel"/>
    <w:tmpl w:val="E1B2E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D489E"/>
    <w:multiLevelType w:val="hybridMultilevel"/>
    <w:tmpl w:val="08060D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27F"/>
    <w:multiLevelType w:val="hybridMultilevel"/>
    <w:tmpl w:val="18FA81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65F2C"/>
    <w:multiLevelType w:val="hybridMultilevel"/>
    <w:tmpl w:val="3FE809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870AA1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C0D27"/>
    <w:multiLevelType w:val="hybridMultilevel"/>
    <w:tmpl w:val="B01A4A2E"/>
    <w:lvl w:ilvl="0" w:tplc="288E58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818B6"/>
    <w:multiLevelType w:val="hybridMultilevel"/>
    <w:tmpl w:val="7CFC4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A3D3C"/>
    <w:multiLevelType w:val="hybridMultilevel"/>
    <w:tmpl w:val="E25C8004"/>
    <w:lvl w:ilvl="0" w:tplc="288E58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35E6A"/>
    <w:multiLevelType w:val="hybridMultilevel"/>
    <w:tmpl w:val="9830F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7"/>
    <w:rsid w:val="000A725E"/>
    <w:rsid w:val="002D6817"/>
    <w:rsid w:val="00783358"/>
    <w:rsid w:val="00D1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E549"/>
  <w15:chartTrackingRefBased/>
  <w15:docId w15:val="{FB24875C-A3B3-44FA-B198-3F6F338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DellAquila</dc:creator>
  <cp:keywords/>
  <dc:description/>
  <cp:lastModifiedBy>Damian DellAquila</cp:lastModifiedBy>
  <cp:revision>1</cp:revision>
  <dcterms:created xsi:type="dcterms:W3CDTF">2020-09-28T03:30:00Z</dcterms:created>
  <dcterms:modified xsi:type="dcterms:W3CDTF">2020-09-28T03:55:00Z</dcterms:modified>
</cp:coreProperties>
</file>